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CE" w:rsidRPr="00B561DF" w:rsidRDefault="00E942CE" w:rsidP="00CB73B8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B561DF">
        <w:rPr>
          <w:rFonts w:ascii="Courier New" w:hAnsi="Courier New" w:cs="Courier New"/>
          <w:sz w:val="22"/>
          <w:szCs w:val="22"/>
        </w:rPr>
        <w:t xml:space="preserve">Приложение  </w:t>
      </w:r>
    </w:p>
    <w:p w:rsidR="00E942CE" w:rsidRPr="00B561DF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B561DF">
        <w:rPr>
          <w:rFonts w:ascii="Courier New" w:hAnsi="Courier New" w:cs="Courier New"/>
          <w:sz w:val="22"/>
          <w:szCs w:val="22"/>
        </w:rPr>
        <w:t xml:space="preserve">к административному регламенту предоставления </w:t>
      </w:r>
    </w:p>
    <w:p w:rsidR="00E942CE" w:rsidRPr="00B561DF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B561DF">
        <w:rPr>
          <w:rFonts w:ascii="Courier New" w:hAnsi="Courier New" w:cs="Courier New"/>
          <w:sz w:val="22"/>
          <w:szCs w:val="22"/>
        </w:rPr>
        <w:t xml:space="preserve">муниципальной услуги «Заключение соглашения о перераспределении </w:t>
      </w:r>
    </w:p>
    <w:p w:rsidR="00E942CE" w:rsidRPr="00B561DF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B561DF">
        <w:rPr>
          <w:rFonts w:ascii="Courier New" w:hAnsi="Courier New" w:cs="Courier New"/>
          <w:sz w:val="22"/>
          <w:szCs w:val="22"/>
        </w:rPr>
        <w:t xml:space="preserve">земельных участков, находящихся в государственной или муниципальной </w:t>
      </w:r>
    </w:p>
    <w:p w:rsidR="00E942CE" w:rsidRPr="00B561DF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B561DF">
        <w:rPr>
          <w:rFonts w:ascii="Courier New" w:hAnsi="Courier New" w:cs="Courier New"/>
          <w:sz w:val="22"/>
          <w:szCs w:val="22"/>
        </w:rPr>
        <w:t xml:space="preserve">собственности и земельных участков, находящихся  </w:t>
      </w:r>
    </w:p>
    <w:p w:rsidR="00E942CE" w:rsidRPr="00B561DF" w:rsidRDefault="00E942CE" w:rsidP="00F130D6">
      <w:pPr>
        <w:jc w:val="right"/>
        <w:rPr>
          <w:rFonts w:ascii="Courier New" w:hAnsi="Courier New" w:cs="Courier New"/>
          <w:sz w:val="22"/>
          <w:szCs w:val="22"/>
        </w:rPr>
      </w:pPr>
      <w:r w:rsidRPr="00B561DF">
        <w:rPr>
          <w:rFonts w:ascii="Courier New" w:hAnsi="Courier New" w:cs="Courier New"/>
          <w:sz w:val="22"/>
          <w:szCs w:val="22"/>
        </w:rPr>
        <w:t>в частной собственности»</w:t>
      </w:r>
    </w:p>
    <w:p w:rsidR="00E942CE" w:rsidRPr="00A3432F" w:rsidRDefault="00E942CE" w:rsidP="00F130D6"/>
    <w:p w:rsidR="00E942CE" w:rsidRPr="00B561DF" w:rsidRDefault="00E942CE" w:rsidP="00F130D6">
      <w:pPr>
        <w:pStyle w:val="1"/>
        <w:spacing w:before="0" w:after="0"/>
        <w:rPr>
          <w:color w:val="auto"/>
        </w:rPr>
      </w:pPr>
      <w:r w:rsidRPr="00B561DF">
        <w:rPr>
          <w:color w:val="auto"/>
        </w:rPr>
        <w:t>Блок-схема</w:t>
      </w:r>
      <w:r w:rsidR="00C06AE5">
        <w:rPr>
          <w:color w:val="auto"/>
        </w:rPr>
        <w:t xml:space="preserve"> </w:t>
      </w:r>
      <w:r w:rsidRPr="00B561DF">
        <w:rPr>
          <w:color w:val="auto"/>
        </w:rPr>
        <w:t>предоставления муниципальной услуги</w:t>
      </w:r>
      <w:r w:rsidRPr="00B561DF">
        <w:rPr>
          <w:color w:val="auto"/>
        </w:rPr>
        <w:br/>
        <w:t>«Заключение соглашения о перераспределении земельных участков, находящихся в государственной или муниципальной собственности и земельных участков, находящихся  в частной собственности»</w:t>
      </w:r>
    </w:p>
    <w:p w:rsidR="00E942CE" w:rsidRPr="00B561DF" w:rsidRDefault="005C562E" w:rsidP="00F130D6">
      <w:pPr>
        <w:ind w:firstLine="698"/>
        <w:jc w:val="center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rect id="_x0000_s1026" style="position:absolute;left:0;text-align:left;margin-left:211.95pt;margin-top:13.2pt;width:252.75pt;height:77.25pt;z-index:251651584">
            <v:textbox>
              <w:txbxContent>
                <w:p w:rsidR="00E942CE" w:rsidRPr="00AF18F0" w:rsidRDefault="00E942CE" w:rsidP="00F130D6">
                  <w:pPr>
                    <w:jc w:val="center"/>
                  </w:pPr>
                  <w:r>
                    <w:t>Прием и регистрация заявления о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5C562E">
        <w:rPr>
          <w:rFonts w:ascii="Arial" w:hAnsi="Arial" w:cs="Arial"/>
          <w:noProof/>
        </w:rPr>
        <w:pict>
          <v:rect id="_x0000_s1027" style="position:absolute;left:0;text-align:left;margin-left:-6.3pt;margin-top:13.2pt;width:197.25pt;height:77.25pt;z-index:251650560">
            <v:textbox>
              <w:txbxContent>
                <w:p w:rsidR="00E942CE" w:rsidRPr="00AF18F0" w:rsidRDefault="00E942CE" w:rsidP="00F130D6">
                  <w:pPr>
                    <w:jc w:val="center"/>
                  </w:pPr>
                  <w:r>
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</w:r>
                </w:p>
              </w:txbxContent>
            </v:textbox>
          </v:rect>
        </w:pict>
      </w: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0.95pt;margin-top:12.3pt;width:21pt;height:0;flip:x;z-index:251656704" o:connectortype="straight">
            <v:stroke endarrow="block"/>
          </v:shape>
        </w:pict>
      </w: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shape id="_x0000_s1029" type="#_x0000_t32" style="position:absolute;left:0;text-align:left;margin-left:340.2pt;margin-top:7.65pt;width:0;height:19.5pt;z-index:251657728" o:connectortype="straight">
            <v:stroke endarrow="block"/>
          </v:shape>
        </w:pict>
      </w: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rect id="_x0000_s1030" style="position:absolute;left:0;text-align:left;margin-left:211.95pt;margin-top:13.35pt;width:252.75pt;height:66pt;z-index:251652608">
            <v:textbox>
              <w:txbxContent>
                <w:p w:rsidR="00E942CE" w:rsidRPr="00AF18F0" w:rsidRDefault="00E942CE" w:rsidP="00F130D6">
                  <w:pPr>
                    <w:jc w:val="center"/>
                  </w:pPr>
                  <w:r>
                    <w:t>Направление запросов в порядке межведомственного информационного взаимодействия и получение ответов на них</w:t>
                  </w:r>
                </w:p>
              </w:txbxContent>
            </v:textbox>
          </v:rect>
        </w:pict>
      </w: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shape id="_x0000_s1031" type="#_x0000_t32" style="position:absolute;left:0;text-align:left;margin-left:340.2pt;margin-top:10.4pt;width:0;height:15.75pt;z-index:251658752" o:connectortype="straight">
            <v:stroke endarrow="block"/>
          </v:shape>
        </w:pict>
      </w: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rect id="_x0000_s1032" style="position:absolute;left:0;text-align:left;margin-left:-6.3pt;margin-top:12.35pt;width:471pt;height:58.65pt;z-index:251653632">
            <v:textbox>
              <w:txbxContent>
                <w:p w:rsidR="00E942CE" w:rsidRPr="00F130D6" w:rsidRDefault="00E942CE" w:rsidP="00F130D6">
                  <w:pPr>
                    <w:jc w:val="center"/>
                  </w:pPr>
                  <w:r w:rsidRPr="00F130D6">
                    <w:rPr>
                      <w:bCs/>
                    </w:rPr>
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</w:r>
                </w:p>
              </w:txbxContent>
            </v:textbox>
          </v:rect>
        </w:pict>
      </w: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shape id="_x0000_s1033" type="#_x0000_t32" style="position:absolute;left:0;text-align:left;margin-left:72.75pt;margin-top:2pt;width:0;height:17.25pt;z-index:251659776" o:connectortype="straight">
            <v:stroke endarrow="block"/>
          </v:shape>
        </w:pict>
      </w:r>
      <w:r w:rsidRPr="005C562E">
        <w:rPr>
          <w:rFonts w:ascii="Arial" w:hAnsi="Arial" w:cs="Arial"/>
          <w:noProof/>
        </w:rPr>
        <w:pict>
          <v:shape id="_x0000_s1034" type="#_x0000_t32" style="position:absolute;left:0;text-align:left;margin-left:340.2pt;margin-top:2pt;width:0;height:17.25pt;z-index:251662848" o:connectortype="straight">
            <v:stroke endarrow="block"/>
          </v:shape>
        </w:pict>
      </w: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rect id="_x0000_s1035" style="position:absolute;left:0;text-align:left;margin-left:184.5pt;margin-top:5.45pt;width:280.2pt;height:95.25pt;z-index:251661824">
            <v:textbox>
              <w:txbxContent>
                <w:p w:rsidR="00E942CE" w:rsidRPr="00AF18F0" w:rsidRDefault="00E942CE" w:rsidP="00F130D6">
                  <w:pPr>
                    <w:jc w:val="center"/>
                  </w:pPr>
                  <w:r>
                    <w:t>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</w:t>
                  </w:r>
                </w:p>
              </w:txbxContent>
            </v:textbox>
          </v:rect>
        </w:pict>
      </w:r>
      <w:r w:rsidRPr="005C562E">
        <w:rPr>
          <w:rFonts w:ascii="Arial" w:hAnsi="Arial" w:cs="Arial"/>
          <w:noProof/>
        </w:rPr>
        <w:pict>
          <v:rect id="_x0000_s1036" style="position:absolute;left:0;text-align:left;margin-left:-6.3pt;margin-top:5.45pt;width:171pt;height:60.75pt;z-index:251654656">
            <v:textbox>
              <w:txbxContent>
                <w:p w:rsidR="00E942CE" w:rsidRPr="00AF18F0" w:rsidRDefault="00E942CE" w:rsidP="00F130D6">
                  <w:pPr>
                    <w:jc w:val="center"/>
                  </w:pPr>
                  <w:r>
                    <w:t>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shape id="_x0000_s1037" type="#_x0000_t32" style="position:absolute;left:0;text-align:left;margin-left:340.2pt;margin-top:4.1pt;width:0;height:19.5pt;z-index:251660800" o:connectortype="straight">
            <v:stroke endarrow="block"/>
          </v:shape>
        </w:pict>
      </w: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rect id="_x0000_s1038" style="position:absolute;left:0;text-align:left;margin-left:131.7pt;margin-top:9.8pt;width:333pt;height:52.5pt;z-index:251655680">
            <v:textbox>
              <w:txbxContent>
                <w:p w:rsidR="00E942CE" w:rsidRPr="00842D2C" w:rsidRDefault="00E942CE" w:rsidP="00842D2C">
                  <w:pPr>
                    <w:jc w:val="center"/>
                  </w:pPr>
                  <w:r>
                    <w:rPr>
                      <w:bCs/>
                    </w:rPr>
                    <w:t>П</w:t>
                  </w:r>
                  <w:r w:rsidRPr="00E53A1E">
                    <w:rPr>
                      <w:bCs/>
                    </w:rPr>
                    <w:t>роведение кадастровых работ</w:t>
                  </w:r>
                  <w:r>
                    <w:rPr>
                      <w:bCs/>
                    </w:rPr>
                    <w:t xml:space="preserve"> в целях государственного кадастрового учета земельных участков, которые образуются в результате перераспределения</w:t>
                  </w:r>
                </w:p>
              </w:txbxContent>
            </v:textbox>
          </v:rect>
        </w:pict>
      </w: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E942C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shape id="_x0000_s1039" type="#_x0000_t32" style="position:absolute;left:0;text-align:left;margin-left:340.2pt;margin-top:7.1pt;width:0;height:19.5pt;z-index:251663872" o:connectortype="straight">
            <v:stroke endarrow="block"/>
          </v:shape>
        </w:pict>
      </w:r>
    </w:p>
    <w:p w:rsidR="00E942CE" w:rsidRPr="00B561DF" w:rsidRDefault="005C562E" w:rsidP="00F130D6">
      <w:pPr>
        <w:ind w:firstLine="698"/>
        <w:jc w:val="right"/>
        <w:rPr>
          <w:rStyle w:val="a7"/>
          <w:rFonts w:ascii="Arial" w:hAnsi="Arial" w:cs="Arial"/>
          <w:bCs/>
          <w:color w:val="auto"/>
        </w:rPr>
      </w:pPr>
      <w:r w:rsidRPr="005C562E">
        <w:rPr>
          <w:rFonts w:ascii="Arial" w:hAnsi="Arial" w:cs="Arial"/>
          <w:noProof/>
        </w:rPr>
        <w:pict>
          <v:rect id="_x0000_s1040" style="position:absolute;left:0;text-align:left;margin-left:131.7pt;margin-top:12.8pt;width:333pt;height:52.5pt;z-index:251664896">
            <v:textbox>
              <w:txbxContent>
                <w:p w:rsidR="00E942CE" w:rsidRPr="00842D2C" w:rsidRDefault="00E942CE" w:rsidP="00842D2C">
                  <w:pPr>
                    <w:jc w:val="center"/>
                  </w:pPr>
                  <w:r>
                    <w:rPr>
                      <w:bCs/>
                    </w:rPr>
                    <w:t>Направление заявителю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sectPr w:rsidR="00E942CE" w:rsidRPr="00B561DF" w:rsidSect="00B1350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03B5D"/>
    <w:rsid w:val="0002260C"/>
    <w:rsid w:val="000227C6"/>
    <w:rsid w:val="00103B5D"/>
    <w:rsid w:val="0011360C"/>
    <w:rsid w:val="00191C73"/>
    <w:rsid w:val="00234122"/>
    <w:rsid w:val="00252A7C"/>
    <w:rsid w:val="0034488D"/>
    <w:rsid w:val="003F4B9C"/>
    <w:rsid w:val="003F4D13"/>
    <w:rsid w:val="00423272"/>
    <w:rsid w:val="00474907"/>
    <w:rsid w:val="00566D39"/>
    <w:rsid w:val="00571A09"/>
    <w:rsid w:val="005A63E0"/>
    <w:rsid w:val="005B1436"/>
    <w:rsid w:val="005C49CB"/>
    <w:rsid w:val="005C562E"/>
    <w:rsid w:val="00696ABF"/>
    <w:rsid w:val="00697A7C"/>
    <w:rsid w:val="006C0CBF"/>
    <w:rsid w:val="006E4668"/>
    <w:rsid w:val="0070084A"/>
    <w:rsid w:val="00736E89"/>
    <w:rsid w:val="007411D7"/>
    <w:rsid w:val="007C6121"/>
    <w:rsid w:val="00832D01"/>
    <w:rsid w:val="00842D2C"/>
    <w:rsid w:val="008460AA"/>
    <w:rsid w:val="008D04BA"/>
    <w:rsid w:val="009326A6"/>
    <w:rsid w:val="009524AC"/>
    <w:rsid w:val="0098623D"/>
    <w:rsid w:val="009C0579"/>
    <w:rsid w:val="009D07F3"/>
    <w:rsid w:val="009D7385"/>
    <w:rsid w:val="009E517C"/>
    <w:rsid w:val="009F5D77"/>
    <w:rsid w:val="00A05120"/>
    <w:rsid w:val="00A12F69"/>
    <w:rsid w:val="00A3432F"/>
    <w:rsid w:val="00AB7225"/>
    <w:rsid w:val="00AF18F0"/>
    <w:rsid w:val="00B1350D"/>
    <w:rsid w:val="00B47F32"/>
    <w:rsid w:val="00B561DF"/>
    <w:rsid w:val="00B97ADE"/>
    <w:rsid w:val="00BC1F29"/>
    <w:rsid w:val="00BE1BB4"/>
    <w:rsid w:val="00BF315D"/>
    <w:rsid w:val="00C06AE5"/>
    <w:rsid w:val="00C55F15"/>
    <w:rsid w:val="00CB73B8"/>
    <w:rsid w:val="00D3317F"/>
    <w:rsid w:val="00D4034D"/>
    <w:rsid w:val="00D4787B"/>
    <w:rsid w:val="00D83D15"/>
    <w:rsid w:val="00D91BB5"/>
    <w:rsid w:val="00E0222C"/>
    <w:rsid w:val="00E34CFF"/>
    <w:rsid w:val="00E53A1E"/>
    <w:rsid w:val="00E942CE"/>
    <w:rsid w:val="00EB5F92"/>
    <w:rsid w:val="00EF612C"/>
    <w:rsid w:val="00F03D9E"/>
    <w:rsid w:val="00F130D6"/>
    <w:rsid w:val="00F4362B"/>
    <w:rsid w:val="00F73C5E"/>
    <w:rsid w:val="00FA5D87"/>
    <w:rsid w:val="00FA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1"/>
        <o:r id="V:Rule11" type="connector" idref="#_x0000_s1034"/>
        <o:r id="V:Rule12" type="connector" idref="#_x0000_s1033"/>
        <o:r id="V:Rule13" type="connector" idref="#_x0000_s1039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0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0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3B5D"/>
    <w:rPr>
      <w:rFonts w:cs="Times New Roman"/>
      <w:color w:val="106BBE"/>
    </w:rPr>
  </w:style>
  <w:style w:type="character" w:styleId="a4">
    <w:name w:val="Hyperlink"/>
    <w:uiPriority w:val="99"/>
    <w:rsid w:val="00103B5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3B5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103B5D"/>
    <w:rPr>
      <w:rFonts w:cs="Times New Roman"/>
    </w:rPr>
  </w:style>
  <w:style w:type="paragraph" w:customStyle="1" w:styleId="a5">
    <w:name w:val="Комментарий"/>
    <w:basedOn w:val="a"/>
    <w:next w:val="a"/>
    <w:uiPriority w:val="99"/>
    <w:rsid w:val="00103B5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03B5D"/>
    <w:rPr>
      <w:i/>
      <w:iCs/>
    </w:rPr>
  </w:style>
  <w:style w:type="paragraph" w:customStyle="1" w:styleId="ConsPlusNonformat">
    <w:name w:val="ConsPlusNonformat"/>
    <w:uiPriority w:val="99"/>
    <w:rsid w:val="00252A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F130D6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F130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30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EBD8-9C81-4426-B0C0-4FA65ACB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Ingvarr</cp:lastModifiedBy>
  <cp:revision>2</cp:revision>
  <cp:lastPrinted>2016-11-10T07:50:00Z</cp:lastPrinted>
  <dcterms:created xsi:type="dcterms:W3CDTF">2018-09-04T16:47:00Z</dcterms:created>
  <dcterms:modified xsi:type="dcterms:W3CDTF">2018-09-04T16:47:00Z</dcterms:modified>
</cp:coreProperties>
</file>